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653240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 С.</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 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3513866)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с. Верхние Чебеньки</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2024-25 гг.</w:t>
      </w:r>
      <w:bookmarkEnd w:id="4"/>
    </w:p>
    <w:p>
      <w:pPr>
        <w:spacing w:before="0" w:after="0"/>
        <w:ind w:left="120"/>
        <w:jc w:val="left"/>
      </w:pPr>
    </w:p>
    <w:bookmarkStart w:name="block-26532406" w:id="5"/>
    <w:p>
      <w:pPr>
        <w:sectPr>
          <w:pgSz w:w="11906" w:h="16383" w:orient="portrait"/>
        </w:sectPr>
      </w:pPr>
    </w:p>
    <w:bookmarkEnd w:id="5"/>
    <w:bookmarkEnd w:id="0"/>
    <w:bookmarkStart w:name="block-26532407"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26532407" w:id="8"/>
    <w:p>
      <w:pPr>
        <w:sectPr>
          <w:pgSz w:w="11906" w:h="16383" w:orient="portrait"/>
        </w:sectPr>
      </w:pPr>
    </w:p>
    <w:bookmarkEnd w:id="8"/>
    <w:bookmarkEnd w:id="6"/>
    <w:bookmarkStart w:name="block-2653240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26532408" w:id="10"/>
    <w:p>
      <w:pPr>
        <w:sectPr>
          <w:pgSz w:w="11906" w:h="16383" w:orient="portrait"/>
        </w:sectPr>
      </w:pPr>
    </w:p>
    <w:bookmarkEnd w:id="10"/>
    <w:bookmarkEnd w:id="9"/>
    <w:bookmarkStart w:name="block-2653240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26532409" w:id="12"/>
    <w:p>
      <w:pPr>
        <w:sectPr>
          <w:pgSz w:w="11906" w:h="16383" w:orient="portrait"/>
        </w:sectPr>
      </w:pPr>
    </w:p>
    <w:bookmarkEnd w:id="12"/>
    <w:bookmarkEnd w:id="11"/>
    <w:bookmarkStart w:name="block-2653241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20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321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2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26532410" w:id="14"/>
    <w:p>
      <w:pPr>
        <w:sectPr>
          <w:pgSz w:w="16383" w:h="11906" w:orient="landscape"/>
        </w:sectPr>
      </w:pPr>
    </w:p>
    <w:bookmarkEnd w:id="14"/>
    <w:bookmarkEnd w:id="13"/>
    <w:bookmarkStart w:name="block-2653241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262"/>
        <w:gridCol w:w="3654"/>
        <w:gridCol w:w="2359"/>
        <w:gridCol w:w="3548"/>
        <w:gridCol w:w="2771"/>
      </w:tblGrid>
      <w:tr>
        <w:trPr>
          <w:trHeight w:val="300" w:hRule="atLeast"/>
          <w:trHeight w:val="144" w:hRule="atLeast"/>
        </w:trPr>
        <w:tc>
          <w:tcPr>
            <w:tcW w:w="8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r>
      <w:tr>
        <w:trPr>
          <w:trHeight w:val="30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r>
      <w:tr>
        <w:trPr>
          <w:trHeight w:val="108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r>
      <w:tr>
        <w:trPr>
          <w:trHeight w:val="157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r>
      <w:tr>
        <w:trPr>
          <w:trHeight w:val="217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r>
      <w:tr>
        <w:trPr>
          <w:trHeight w:val="30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r>
      <w:tr>
        <w:trPr>
          <w:trHeight w:val="30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r>
      <w:tr>
        <w:trPr>
          <w:trHeight w:val="190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r>
      <w:tr>
        <w:trPr>
          <w:trHeight w:val="190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25.01.2025 </w:t>
            </w:r>
          </w:p>
        </w:tc>
      </w:tr>
      <w:tr>
        <w:trPr>
          <w:trHeight w:val="30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r>
      <w:tr>
        <w:trPr>
          <w:trHeight w:val="30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r>
      <w:tr>
        <w:trPr>
          <w:trHeight w:val="30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r>
      <w:tr>
        <w:trPr>
          <w:trHeight w:val="5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r>
      <w:tr>
        <w:trPr>
          <w:trHeight w:val="30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r>
      <w:tr>
        <w:trPr>
          <w:trHeight w:val="30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24.03.2025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25.03.2025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19.04.2025 </w:t>
            </w:r>
          </w:p>
        </w:tc>
      </w:tr>
      <w:tr>
        <w:trPr>
          <w:trHeight w:val="118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r>
      <w:tr>
        <w:trPr>
          <w:trHeight w:val="55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r>
      <w:tr>
        <w:trPr>
          <w:trHeight w:val="82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r>
      <w:tr>
        <w:trPr>
          <w:trHeight w:val="297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r>
      <w:tr>
        <w:trPr>
          <w:trHeight w:val="2970"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r>
      <w:tr>
        <w:trPr>
          <w:trHeight w:val="214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r>
      <w:tr>
        <w:trPr>
          <w:trHeight w:val="109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r>
      <w:tr>
        <w:trPr>
          <w:trHeight w:val="1365" w:hRule="atLeast"/>
          <w:trHeight w:val="144" w:hRule="atLeast"/>
        </w:trPr>
        <w:tc>
          <w:tcPr>
            <w:tcW w:w="8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5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268"/>
        <w:gridCol w:w="3654"/>
        <w:gridCol w:w="2372"/>
        <w:gridCol w:w="3563"/>
        <w:gridCol w:w="2737"/>
      </w:tblGrid>
      <w:tr>
        <w:trPr>
          <w:trHeight w:val="300" w:hRule="atLeast"/>
          <w:trHeight w:val="144" w:hRule="atLeast"/>
        </w:trPr>
        <w:tc>
          <w:tcPr>
            <w:tcW w:w="8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57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244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59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5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6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268"/>
        <w:gridCol w:w="3654"/>
        <w:gridCol w:w="2372"/>
        <w:gridCol w:w="3563"/>
        <w:gridCol w:w="2737"/>
      </w:tblGrid>
      <w:tr>
        <w:trPr>
          <w:trHeight w:val="300" w:hRule="atLeast"/>
          <w:trHeight w:val="144" w:hRule="atLeast"/>
        </w:trPr>
        <w:tc>
          <w:tcPr>
            <w:tcW w:w="8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57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48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24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41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17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217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27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6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268"/>
        <w:gridCol w:w="3654"/>
        <w:gridCol w:w="2372"/>
        <w:gridCol w:w="3563"/>
        <w:gridCol w:w="2737"/>
      </w:tblGrid>
      <w:tr>
        <w:trPr>
          <w:trHeight w:val="300" w:hRule="atLeast"/>
          <w:trHeight w:val="144" w:hRule="atLeast"/>
        </w:trPr>
        <w:tc>
          <w:tcPr>
            <w:tcW w:w="8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48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63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18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271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3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0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204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351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36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82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09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1905"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p>
        </w:tc>
        <w:tc>
          <w:tcPr>
            <w:tcW w:w="1915" w:type="dxa"/>
            <w:tcBorders/>
            <w:tcMar>
              <w:top w:w="50" w:type="dxa"/>
              <w:left w:w="100" w:type="dxa"/>
            </w:tcMar>
            <w:vAlign w:val="center"/>
          </w:tcPr>
          <w:p>
            <w:pPr>
              <w:spacing w:before="0" w:after="0"/>
              <w:ind w:left="135"/>
              <w:jc w:val="left"/>
            </w:pPr>
          </w:p>
        </w:tc>
      </w:tr>
      <w:tr>
        <w:trPr>
          <w:trHeight w:val="5370" w:hRule="atLeast"/>
          <w:trHeight w:val="144" w:hRule="atLeast"/>
        </w:trPr>
        <w:tc>
          <w:tcPr>
            <w:tcW w:w="8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6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6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261"/>
        <w:gridCol w:w="3707"/>
        <w:gridCol w:w="2357"/>
        <w:gridCol w:w="3545"/>
        <w:gridCol w:w="2724"/>
      </w:tblGrid>
      <w:tr>
        <w:trPr>
          <w:trHeight w:val="300" w:hRule="atLeast"/>
          <w:trHeight w:val="144" w:hRule="atLeast"/>
        </w:trPr>
        <w:tc>
          <w:tcPr>
            <w:tcW w:w="88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9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24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27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21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217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217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90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90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300"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244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2550"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300"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70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63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63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36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63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4320"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27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82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1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2970"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p>
        </w:tc>
        <w:tc>
          <w:tcPr>
            <w:tcW w:w="1906" w:type="dxa"/>
            <w:tcBorders/>
            <w:tcMar>
              <w:top w:w="50" w:type="dxa"/>
              <w:left w:w="100" w:type="dxa"/>
            </w:tcMar>
            <w:vAlign w:val="center"/>
          </w:tcPr>
          <w:p>
            <w:pPr>
              <w:spacing w:before="0" w:after="0"/>
              <w:ind w:left="135"/>
              <w:jc w:val="left"/>
            </w:pPr>
          </w:p>
        </w:tc>
      </w:tr>
      <w:tr>
        <w:trPr>
          <w:trHeight w:val="7095" w:hRule="atLeast"/>
          <w:trHeight w:val="144" w:hRule="atLeast"/>
        </w:trPr>
        <w:tc>
          <w:tcPr>
            <w:tcW w:w="88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0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5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4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06" w:type="dxa"/>
            <w:tcBorders/>
            <w:tcMar>
              <w:top w:w="50" w:type="dxa"/>
              <w:left w:w="100" w:type="dxa"/>
            </w:tcMar>
            <w:vAlign w:val="center"/>
          </w:tcPr>
          <w:p>
            <w:pPr>
              <w:jc w:val="left"/>
            </w:pPr>
          </w:p>
        </w:tc>
      </w:tr>
    </w:tbl>
    <w:p>
      <w:pPr>
        <w:sectPr>
          <w:pgSz w:w="16383" w:h="11906" w:orient="landscape"/>
        </w:sectPr>
      </w:pPr>
    </w:p>
    <w:bookmarkStart w:name="block-26532411" w:id="16"/>
    <w:p>
      <w:pPr>
        <w:sectPr>
          <w:pgSz w:w="16383" w:h="11906" w:orient="landscape"/>
        </w:sectPr>
      </w:pPr>
    </w:p>
    <w:bookmarkEnd w:id="16"/>
    <w:bookmarkEnd w:id="15"/>
    <w:bookmarkStart w:name="block-2653241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6532412"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